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8A" w:rsidRDefault="00F15C8A" w:rsidP="00F15C8A">
      <w:pPr>
        <w:pStyle w:val="NoSpacing"/>
        <w:rPr>
          <w:rFonts w:ascii="Arial" w:hAnsi="Arial" w:cs="Arial"/>
          <w:b/>
          <w:bCs/>
          <w:color w:val="0070C0"/>
          <w:sz w:val="36"/>
          <w:szCs w:val="36"/>
          <w:lang w:eastAsia="fr-FR"/>
        </w:rPr>
      </w:pPr>
      <w:r w:rsidRPr="00BF5CB6">
        <w:rPr>
          <w:rFonts w:ascii="Arial" w:hAnsi="Arial" w:cs="Arial"/>
          <w:b/>
          <w:bCs/>
          <w:color w:val="0070C0"/>
          <w:sz w:val="36"/>
          <w:szCs w:val="36"/>
          <w:lang w:eastAsia="fr-FR"/>
        </w:rPr>
        <w:t xml:space="preserve">Les prépositions : à, de... </w:t>
      </w:r>
    </w:p>
    <w:p w:rsidR="00BF5CB6" w:rsidRPr="00BF5CB6" w:rsidRDefault="00BF5CB6" w:rsidP="00F15C8A">
      <w:pPr>
        <w:pStyle w:val="NoSpacing"/>
        <w:rPr>
          <w:rFonts w:ascii="Arial" w:hAnsi="Arial" w:cs="Arial"/>
          <w:b/>
          <w:bCs/>
          <w:color w:val="0070C0"/>
          <w:sz w:val="28"/>
          <w:szCs w:val="28"/>
          <w:lang w:eastAsia="fr-FR"/>
        </w:rPr>
      </w:pPr>
    </w:p>
    <w:p w:rsidR="008366EA" w:rsidRPr="00BF5CB6" w:rsidRDefault="004A7F0A" w:rsidP="00F15C8A">
      <w:pPr>
        <w:rPr>
          <w:rFonts w:ascii="Arial" w:hAnsi="Arial" w:cs="Arial"/>
          <w:sz w:val="28"/>
          <w:szCs w:val="28"/>
          <w:u w:val="single"/>
          <w:lang w:eastAsia="fr-FR"/>
        </w:rPr>
      </w:pPr>
      <w:hyperlink r:id="rId5" w:tgtFrame="_blank" w:history="1">
        <w:r w:rsidR="00F15C8A" w:rsidRPr="00BF5CB6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Les prépositions à et de après les adjectifs (1) </w:t>
        </w:r>
      </w:hyperlink>
      <w:r w:rsidR="00F15C8A" w:rsidRPr="00BF5CB6">
        <w:rPr>
          <w:rFonts w:ascii="Arial" w:hAnsi="Arial" w:cs="Arial"/>
          <w:sz w:val="28"/>
          <w:szCs w:val="28"/>
          <w:lang w:eastAsia="fr-FR"/>
        </w:rPr>
        <w:br/>
      </w:r>
      <w:hyperlink r:id="rId6" w:tgtFrame="_blank" w:history="1">
        <w:r w:rsidR="00F15C8A" w:rsidRPr="00BF5CB6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Les prépositions à et de après les adjectifs (2) </w:t>
        </w:r>
      </w:hyperlink>
      <w:r w:rsidR="00F15C8A" w:rsidRPr="00BF5CB6">
        <w:rPr>
          <w:rFonts w:ascii="Arial" w:hAnsi="Arial" w:cs="Arial"/>
          <w:sz w:val="28"/>
          <w:szCs w:val="28"/>
          <w:lang w:eastAsia="fr-FR"/>
        </w:rPr>
        <w:br/>
      </w:r>
      <w:hyperlink r:id="rId7" w:tgtFrame="_blank" w:history="1">
        <w:r w:rsidR="00F15C8A" w:rsidRPr="00BF5CB6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Les prépositions à et de après le verbe jouer </w:t>
        </w:r>
      </w:hyperlink>
    </w:p>
    <w:p w:rsidR="00BF5CB6" w:rsidRDefault="00BF5CB6" w:rsidP="00F15C8A">
      <w:pPr>
        <w:rPr>
          <w:rFonts w:ascii="Arial" w:hAnsi="Arial" w:cs="Arial"/>
          <w:u w:val="single"/>
          <w:lang w:eastAsia="fr-FR"/>
        </w:rPr>
      </w:pPr>
    </w:p>
    <w:p w:rsidR="00BF5CB6" w:rsidRDefault="00BF5CB6" w:rsidP="00F15C8A">
      <w:bookmarkStart w:id="0" w:name="_GoBack"/>
      <w:bookmarkEnd w:id="0"/>
    </w:p>
    <w:sectPr w:rsidR="00BF5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8A"/>
    <w:rsid w:val="004A7F0A"/>
    <w:rsid w:val="008366EA"/>
    <w:rsid w:val="00BF5CB6"/>
    <w:rsid w:val="00F1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C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C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egina.ca/~laninstit/HotPot/French/Elementaire/exercises/V/v024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stena.lu/amifra/exos/gram/prep10.htm" TargetMode="External"/><Relationship Id="rId5" Type="http://schemas.openxmlformats.org/officeDocument/2006/relationships/hyperlink" Target="http://www.restena.lu/amifra/exos/gram/prep11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4</cp:revision>
  <dcterms:created xsi:type="dcterms:W3CDTF">2014-02-18T19:47:00Z</dcterms:created>
  <dcterms:modified xsi:type="dcterms:W3CDTF">2014-02-18T20:05:00Z</dcterms:modified>
</cp:coreProperties>
</file>